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1002030" cy="586740"/>
            <wp:effectExtent l="0" t="0" r="0" b="0"/>
            <wp:wrapSquare wrapText="bothSides"/>
            <wp:docPr id="3" name="图片 3" descr="96c7fec527f2276528972f1efefe6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c7fec527f2276528972f1efefe6e1"/>
                    <pic:cNvPicPr>
                      <a:picLocks noChangeAspect="1"/>
                    </pic:cNvPicPr>
                  </pic:nvPicPr>
                  <pic:blipFill>
                    <a:blip r:embed="rId7"/>
                    <a:srcRect b="17458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20" w:lineRule="auto"/>
        <w:jc w:val="center"/>
        <w:rPr>
          <w:rFonts w:ascii="黑体" w:hAnsi="黑体" w:eastAsia="黑体" w:cs="宋体"/>
          <w:b/>
          <w:bCs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kern w:val="0"/>
          <w:sz w:val="52"/>
          <w:szCs w:val="52"/>
        </w:rPr>
        <w:t>吉林省“先医后付”智慧医保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20" w:lineRule="auto"/>
        <w:jc w:val="center"/>
        <w:rPr>
          <w:rFonts w:ascii="黑体" w:hAnsi="黑体" w:eastAsia="黑体" w:cs="宋体"/>
          <w:b/>
          <w:bCs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kern w:val="0"/>
          <w:sz w:val="52"/>
          <w:szCs w:val="52"/>
        </w:rPr>
        <w:t>信用支付聚合平台技术指南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（定点医疗机构）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V2.0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吉林省医疗保障局</w:t>
      </w:r>
    </w:p>
    <w:p>
      <w:pPr>
        <w:spacing w:line="60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二零二三年九月</w:t>
      </w: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sdt>
      <w:sdtPr>
        <w:rPr>
          <w:rFonts w:ascii="宋体" w:hAnsi="宋体" w:eastAsia="宋体"/>
          <w:b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id w:val="147461352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sdtEndPr>
      <w:sdtContent>
        <w:p>
          <w:pPr>
            <w:adjustRightInd w:val="0"/>
            <w:snapToGrid w:val="0"/>
            <w:spacing w:line="360" w:lineRule="auto"/>
            <w:jc w:val="center"/>
            <w:rPr>
              <w:rFonts w:ascii="宋体" w:hAnsi="宋体" w:eastAsia="宋体"/>
              <w:b/>
              <w:bCs/>
              <w:color w:val="000000" w:themeColor="text1"/>
              <w:sz w:val="44"/>
              <w:szCs w:val="48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b/>
              <w:bCs/>
              <w:color w:val="000000" w:themeColor="text1"/>
              <w:sz w:val="44"/>
              <w:szCs w:val="48"/>
              <w14:textFill>
                <w14:solidFill>
                  <w14:schemeClr w14:val="tx1"/>
                </w14:solidFill>
              </w14:textFill>
            </w:rPr>
            <w:t>目</w:t>
          </w:r>
          <w:r>
            <w:rPr>
              <w:rFonts w:hint="eastAsia" w:ascii="宋体" w:hAnsi="宋体" w:eastAsia="宋体"/>
              <w:b/>
              <w:bCs/>
              <w:color w:val="000000" w:themeColor="text1"/>
              <w:sz w:val="44"/>
              <w:szCs w:val="48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Fonts w:ascii="宋体" w:hAnsi="宋体" w:eastAsia="宋体"/>
              <w:b/>
              <w:bCs/>
              <w:color w:val="000000" w:themeColor="text1"/>
              <w:sz w:val="44"/>
              <w:szCs w:val="48"/>
              <w14:textFill>
                <w14:solidFill>
                  <w14:schemeClr w14:val="tx1"/>
                </w14:solidFill>
              </w14:textFill>
            </w:rPr>
            <w:t>录</w:t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TOC \o "1-1" \h \u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_Toc24943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1.挂号系统接入实现先医后付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_Toc24943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_Toc26976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2.接入医链回传导诊信息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_Toc26976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_Toc6962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3.窗口挂号结算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_Toc6962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_Toc19902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4.窗口支付结算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_Toc19902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_Toc12098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5.诊间免密结算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_Toc12098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_Toc27565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6.诊间确认结算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_Toc27565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_Toc28216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7.住院押金支付/退费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_Toc28216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_Toc28452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8.住院最终结算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_Toc28452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_Toc741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9.提醒信息查询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_Toc741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_Toc13188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10.检查检验报告查询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_Toc13188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_Toc4019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11.对账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_Toc4019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_Toc23533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12.两定机构供应商融资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_Toc23533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_Toc5148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附录一：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_Toc5148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_Toc5991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附录二：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_Toc5991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_Toc17073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8"/>
              <w:szCs w:val="28"/>
            </w:rPr>
            <w:t>附录三：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_Toc17073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adjustRightInd w:val="0"/>
            <w:snapToGrid w:val="0"/>
            <w:spacing w:line="480" w:lineRule="auto"/>
            <w:rPr>
              <w:rFonts w:ascii="仿宋" w:hAnsi="仿宋" w:eastAsia="仿宋" w:cs="仿宋"/>
              <w:b/>
              <w:bCs/>
              <w:color w:val="000000" w:themeColor="text1"/>
              <w:kern w:val="0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pPr>
          <w:r>
            <w:rPr>
              <w:sz w:val="28"/>
              <w:szCs w:val="28"/>
            </w:rPr>
            <w:fldChar w:fldCharType="end"/>
          </w:r>
        </w:p>
      </w:sdtContent>
    </w:sdt>
    <w:p>
      <w:pPr>
        <w:pageBreakBefore/>
        <w:widowControl/>
        <w:spacing w:before="312" w:beforeLines="100"/>
        <w:ind w:firstLine="640" w:firstLineChars="200"/>
        <w:jc w:val="left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4943"/>
      <w:bookmarkStart w:id="1" w:name="_Toc23897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1.挂号系统接入实现先医后付</w:t>
      </w:r>
      <w:bookmarkEnd w:id="0"/>
      <w:bookmarkEnd w:id="1"/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26572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1.1.业务说明</w:t>
      </w:r>
      <w:bookmarkEnd w:id="2"/>
    </w:p>
    <w:p>
      <w:pPr>
        <w:widowControl/>
        <w:ind w:firstLine="640" w:firstLineChars="20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定点医疗机构通过现有线上挂号实现先医后付的挂号以及支付。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医疗机构通过调用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《附录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，查</w:t>
      </w:r>
      <w:bookmarkStart w:id="48" w:name="_GoBack"/>
      <w:bookmarkEnd w:id="48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看用户是否签约，若未签约让用户去先医后付平台完成签约，签约后调用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《附录一》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获取先医后付平台收银台URL，先医后付平台完成支付后用户可选择回到医疗机构原系统中（调用机构提供的回调地址），具体交互流程参考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《附录一》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Toc29025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1.2.技术说明</w:t>
      </w:r>
      <w:bookmarkEnd w:id="3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定点医疗机构通过实现《吉林医保支付门户定点医药机构接口规范.pdf》中 org_001、org_002（mdtrt_id为空时自动门诊挂号登记）、org_003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org_00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接口。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调用先医后付免密支付收银台（传入医院编号、个人信息、订单信息（机构跟踪号）获取收银台）接口拉取收银台进行结算，详见《附录一》。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调用先医后付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获取支付信息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（传入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先医后付平台回调时返回的access_code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医院可根据自己需求决定是否调用，回调时会包含支付状态，如果想获取详细信息需要调用该接口，用户支付完成10分钟内可获取，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详见《附录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2"/>
          <w:szCs w:val="32"/>
        </w:rPr>
        <w:t>》。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调用先医后付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获取人员签约状态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（传入医院编号、个人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个人身份证号</w:t>
      </w:r>
      <w:r>
        <w:rPr>
          <w:rFonts w:hint="eastAsia" w:ascii="仿宋" w:hAnsi="仿宋" w:eastAsia="仿宋" w:cs="仿宋"/>
          <w:kern w:val="0"/>
          <w:sz w:val="32"/>
          <w:szCs w:val="32"/>
        </w:rPr>
        <w:t>获取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签约状态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用户未签约返回签约地址，机构调用该地址去完成签约，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详见《附录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2"/>
          <w:szCs w:val="32"/>
        </w:rPr>
        <w:t>》。</w:t>
      </w:r>
    </w:p>
    <w:p>
      <w:pPr>
        <w:widowControl/>
        <w:spacing w:before="312" w:beforeLines="100"/>
        <w:ind w:firstLine="640" w:firstLineChars="200"/>
        <w:jc w:val="left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26976"/>
      <w:bookmarkStart w:id="5" w:name="_Toc7939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2.接入医链回传导诊信息</w:t>
      </w:r>
      <w:bookmarkEnd w:id="4"/>
      <w:bookmarkEnd w:id="5"/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_Toc10089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2.1.业务说明</w:t>
      </w:r>
      <w:bookmarkEnd w:id="6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定点医疗机构将挂号连接提供给先医后付平台，通过先医后付平台挂号的相关挂号信息、结算信息以及导诊信息回传给先医后付平台。</w:t>
      </w:r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Toc18693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2.2.技术说明</w:t>
      </w:r>
      <w:bookmarkEnd w:id="7"/>
    </w:p>
    <w:p>
      <w:pPr>
        <w:widowControl/>
        <w:ind w:firstLine="640" w:firstLineChars="200"/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点医疗机构提供挂号功能相关接口给先医后付平台（先医后付平台传入个人信息），通过先医后付平台挂号的订单，定点医疗机构需调用《吉林医保支付门户定点医药机构接口规范.pdf》中AMP_HOS_001接口推送导诊以及结算信息给平台。</w:t>
      </w:r>
    </w:p>
    <w:p>
      <w:pPr>
        <w:widowControl/>
        <w:spacing w:before="312" w:beforeLines="100"/>
        <w:ind w:firstLine="640" w:firstLineChars="200"/>
        <w:jc w:val="left"/>
        <w:outlineLvl w:val="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10172"/>
      <w:bookmarkStart w:id="9" w:name="_Toc6962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3.窗口挂号结算</w:t>
      </w:r>
      <w:bookmarkEnd w:id="8"/>
      <w:bookmarkEnd w:id="9"/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" w:name="_Toc9508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3.1.业务说明</w:t>
      </w:r>
      <w:bookmarkEnd w:id="10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用户线下（窗口、自助终端机）通过就医介质（身份证、社保卡、医保码）进行门诊挂号，定点医疗机构结算时调用先医后付进行结算。</w:t>
      </w:r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1" w:name="_Toc29618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3.2.技术说明</w:t>
      </w:r>
      <w:bookmarkEnd w:id="11"/>
    </w:p>
    <w:p>
      <w:pPr>
        <w:widowControl/>
        <w:ind w:firstLine="640" w:firstLineChars="200"/>
        <w:rPr>
          <w:rFonts w:cs="宋体"/>
          <w:color w:val="FF0000"/>
          <w:szCs w:val="21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点医疗机构通过就医介质（身份证、社保卡、医保码）进行门诊登记，登记完成后结算时调用《医疗保障信息平台定点基线版医药机构接口规范（信用就医）-V1.5.7.pdf》中2207门诊结算交易传入先医后付标志进行先医后付结算。结算完成后，定点医疗机构调用《吉林医保支付门户定点医药机构接口规范.pdf》AMP_HOS_001接口推送导诊以及结算信息给平台。</w:t>
      </w:r>
    </w:p>
    <w:p>
      <w:pPr>
        <w:widowControl/>
        <w:spacing w:before="312" w:beforeLines="100"/>
        <w:ind w:firstLine="640" w:firstLineChars="200"/>
        <w:jc w:val="left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2" w:name="_Toc19902"/>
      <w:bookmarkStart w:id="13" w:name="_Toc14694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4.窗口支付结算</w:t>
      </w:r>
      <w:bookmarkEnd w:id="12"/>
      <w:bookmarkEnd w:id="13"/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4" w:name="_Toc798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4.1.业务说明</w:t>
      </w:r>
      <w:bookmarkEnd w:id="14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用户线下（窗口、自助终端机）通过就医介质（身份证、社保卡、医保码）进行门诊结算，定点医疗机构结算时调用先医后付进行结算。</w:t>
      </w:r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5" w:name="_Toc2221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4.2.技术说明</w:t>
      </w:r>
      <w:bookmarkEnd w:id="15"/>
    </w:p>
    <w:p>
      <w:pPr>
        <w:widowControl/>
        <w:ind w:firstLine="640" w:firstLineChars="200"/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点医疗机构通过就医介质（身份证、社保卡、医保码）进行门诊结算，调用《医疗保障信息平台定点基线版医药机构接口规范（信用就医）-V1.5.7.pdf》中2207门诊结算交易传入先医后付标志进行先医后付结算。结算完成后，定点医疗机构调用《吉林医保支付门户定点医药机构接口规范.pdf》AMP_HOS_001接口推送结算以及导诊信息给平台。</w:t>
      </w:r>
    </w:p>
    <w:p>
      <w:pPr>
        <w:widowControl/>
        <w:spacing w:before="312" w:beforeLines="100"/>
        <w:ind w:firstLine="640" w:firstLineChars="200"/>
        <w:jc w:val="left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6" w:name="_Toc12098"/>
      <w:bookmarkStart w:id="17" w:name="_Toc30285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5.诊间免密结算</w:t>
      </w:r>
      <w:bookmarkEnd w:id="16"/>
      <w:bookmarkEnd w:id="17"/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8" w:name="_Toc32570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5.1.业务说明</w:t>
      </w:r>
      <w:bookmarkEnd w:id="18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用户诊室就医时医生开完处方后无需进行任何操作后端自动支付，收到结算结果通知和导诊通知后进行后续就医流程。</w:t>
      </w:r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9" w:name="_Toc18682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5.2.技术说明</w:t>
      </w:r>
      <w:bookmarkEnd w:id="19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生开完处方后his直接调用《医疗保障信息平台定点基线版医药机构接口规范（信用就医）-V1.5.7.pdf》中2207B交易进行免密无介质就医，结算完成后，定点医疗机构调用《吉林医保支付门户定点医药机构接口规范.pdf》AMP_HOS_001接口推送结算以及导诊信息给平台 。</w:t>
      </w:r>
    </w:p>
    <w:p>
      <w:pPr>
        <w:widowControl/>
        <w:spacing w:before="312" w:beforeLines="100"/>
        <w:ind w:firstLine="640" w:firstLineChars="200"/>
        <w:jc w:val="left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20" w:name="_Toc27565"/>
      <w:bookmarkStart w:id="21" w:name="_Toc28758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6.诊间确认结算</w:t>
      </w:r>
      <w:bookmarkEnd w:id="20"/>
      <w:bookmarkEnd w:id="21"/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22" w:name="_Toc5599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6.1.业务说明</w:t>
      </w:r>
      <w:bookmarkEnd w:id="22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用户诊室就医时医生开完处方后推送待结算信息给先医后付平台，收到待结算信息后用户确认结算，收到结算结果通知和导诊通知进行后续就医流程。</w:t>
      </w:r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23" w:name="_Toc5660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6.2.技术说明</w:t>
      </w:r>
      <w:bookmarkEnd w:id="23"/>
    </w:p>
    <w:p>
      <w:pPr>
        <w:widowControl/>
        <w:ind w:firstLine="640" w:firstLineChars="200"/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生开完处方后his直接调用《吉林医保支付门户定点医药机构接口规范.pdf》AMP_HOS_001接口推送待结算信息给平台，平台提示用户结算，结算完成后平台调用《吉林医保支付门户定点医药机构接口规范.pdf》中org_003接口通知定点医疗机构结算成功。</w:t>
      </w:r>
    </w:p>
    <w:p>
      <w:pPr>
        <w:widowControl/>
        <w:spacing w:before="312" w:beforeLines="100"/>
        <w:ind w:firstLine="640" w:firstLineChars="200"/>
        <w:jc w:val="left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24" w:name="_Toc14282"/>
      <w:bookmarkStart w:id="25" w:name="_Toc28216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7.住院押金支付</w:t>
      </w:r>
      <w:bookmarkEnd w:id="24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/退费</w:t>
      </w:r>
      <w:bookmarkEnd w:id="25"/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26" w:name="_Toc19644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7.1.业务说明</w:t>
      </w:r>
      <w:bookmarkEnd w:id="26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患者住院时可使用先医后付进行押金缴纳/退费</w:t>
      </w:r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27" w:name="_Toc15458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7.2.技术说明</w:t>
      </w:r>
      <w:bookmarkEnd w:id="27"/>
    </w:p>
    <w:p>
      <w:pPr>
        <w:widowControl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患者住院登记后根据登记信息可调用《医疗保障信息平台定点基线版医药机构接口规范（信用就医）-V1.5.7.pdf》中C2304预交金支付交易进行押金的缴纳，C2305预交金退费交易进行押金退费。预交金不支持部分退费，如需要实现部分退还可全退后重新收取。结算完成定点医疗机构调用《吉林医保支付门户定点医药机构接口规范.pdf》AMP_HOS_001接口推送结算信息给平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312" w:beforeLines="100"/>
        <w:ind w:firstLine="640" w:firstLineChars="200"/>
        <w:jc w:val="left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28" w:name="_Toc28452"/>
      <w:bookmarkStart w:id="29" w:name="_Toc19631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8.住院最终结算</w:t>
      </w:r>
      <w:bookmarkEnd w:id="28"/>
      <w:bookmarkEnd w:id="29"/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30" w:name="_Toc32249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8.1.业务说明</w:t>
      </w:r>
      <w:bookmarkEnd w:id="30"/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患者住院结算可使用先医后付金额进行结算，如存在预交金已使用先医后付支付过，可根据实际情况进行相应的退费或补收。</w:t>
      </w:r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31" w:name="_Toc949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8.2.技术说明</w:t>
      </w:r>
      <w:bookmarkEnd w:id="31"/>
    </w:p>
    <w:p>
      <w:pPr>
        <w:widowControl/>
        <w:ind w:firstLine="640" w:firstLineChars="200"/>
        <w:rPr>
          <w:rFonts w:cs="宋体"/>
          <w:szCs w:val="21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患者出院结算调用《医疗保障信息平台定点基线版医药机构接口规范（信用就医）-V1.5.7.pdf》中2304住院结算交易传入先医后付标志进行先医后付结算。结算完成后定点医疗机构调用《吉林医保支付门户定点医药机构接口规范.pdf》AMP_HOS_001接口推送结算信息给平台。</w:t>
      </w:r>
    </w:p>
    <w:p>
      <w:pPr>
        <w:widowControl/>
        <w:spacing w:before="312" w:beforeLines="100"/>
        <w:ind w:firstLine="640" w:firstLineChars="200"/>
        <w:jc w:val="left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32" w:name="_Toc9512"/>
      <w:bookmarkStart w:id="33" w:name="_Toc741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9.提醒信息查询</w:t>
      </w:r>
      <w:bookmarkEnd w:id="32"/>
      <w:bookmarkEnd w:id="33"/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34" w:name="_Toc27280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9.1.业务说明</w:t>
      </w:r>
      <w:bookmarkEnd w:id="34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当用户点击已结算记录查看详情时，可实时获取当前的导诊情况等信息，并推送详情数据。</w:t>
      </w:r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35" w:name="_Toc6145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9.2.技术说明</w:t>
      </w:r>
      <w:bookmarkEnd w:id="35"/>
    </w:p>
    <w:p>
      <w:pPr>
        <w:widowControl/>
        <w:ind w:firstLine="640" w:firstLineChars="200"/>
        <w:rPr>
          <w:rFonts w:cs="宋体"/>
          <w:szCs w:val="21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实现《吉林医保支付门户定点医药机构接口规范.pdf》的org_006接口。</w:t>
      </w:r>
    </w:p>
    <w:p>
      <w:pPr>
        <w:widowControl/>
        <w:spacing w:before="312" w:beforeLines="100"/>
        <w:ind w:firstLine="640" w:firstLineChars="200"/>
        <w:jc w:val="left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36" w:name="_Toc26080"/>
      <w:bookmarkStart w:id="37" w:name="_Toc13188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10.检查检验报告查询</w:t>
      </w:r>
      <w:bookmarkEnd w:id="36"/>
      <w:bookmarkEnd w:id="37"/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38" w:name="_Toc19484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10.1.业务说明</w:t>
      </w:r>
      <w:bookmarkEnd w:id="38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获取定点医疗机构的检查检验报告信息</w:t>
      </w:r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39" w:name="_Toc29321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10.2.技术说明</w:t>
      </w:r>
      <w:bookmarkEnd w:id="39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实现《附录二》中接口。</w:t>
      </w:r>
    </w:p>
    <w:p>
      <w:pPr>
        <w:widowControl/>
        <w:spacing w:before="312" w:beforeLines="100"/>
        <w:ind w:firstLine="640" w:firstLineChars="200"/>
        <w:jc w:val="left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40" w:name="_Toc4019"/>
      <w:bookmarkStart w:id="41" w:name="_Toc22993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11.对账</w:t>
      </w:r>
      <w:bookmarkEnd w:id="40"/>
      <w:bookmarkEnd w:id="41"/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42" w:name="_Toc8833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11.1.业务说明</w:t>
      </w:r>
      <w:bookmarkEnd w:id="42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获取每日的对账文件。</w:t>
      </w:r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43" w:name="_Toc25164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11.2.技术说明</w:t>
      </w:r>
      <w:bookmarkEnd w:id="43"/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对账文件格式为txt表头为：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订单号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（退款订单号）、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银行订单号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（银行退款订单号）、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交易时间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（银行退费完成时间）、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交易状态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（退费状态）、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交易描述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（退款状态描述）、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交易金额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（退费金额）、银行退费流水号、优惠退款费用</w:t>
      </w:r>
    </w:p>
    <w:p>
      <w:pPr>
        <w:widowControl/>
        <w:ind w:firstLine="640" w:firstLineChars="200"/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说明：退费订单为括号中说明，交易金额为负数</w:t>
      </w:r>
    </w:p>
    <w:p>
      <w:pPr>
        <w:widowControl/>
        <w:spacing w:before="312" w:beforeLines="100"/>
        <w:ind w:firstLine="640" w:firstLineChars="200"/>
        <w:jc w:val="left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44" w:name="_Toc23533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12.两定机构供应商融资</w:t>
      </w:r>
      <w:bookmarkEnd w:id="44"/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12.1.业务说明</w:t>
      </w:r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供应商融资定点通过上传进销存信息，提供商品采购相关信息可为供应商融资提供数据基础。</w:t>
      </w:r>
    </w:p>
    <w:p>
      <w:pPr>
        <w:widowControl/>
        <w:ind w:firstLine="643" w:firstLineChars="200"/>
        <w:jc w:val="left"/>
        <w:outlineLvl w:val="1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12.2.技术说明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定点实现《医疗保障信息平台定点基线版医药机构接口规范（信用就医）-V1.5.7.pdf》中3503、3504交易其中添加相应的扩展字段内容即可。详细接口查看《附录三》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950" w:right="1800" w:bottom="1440" w:left="1800" w:header="851" w:footer="1077" w:gutter="0"/>
          <w:pgNumType w:start="1"/>
          <w:cols w:space="425" w:num="1"/>
          <w:docGrid w:type="lines" w:linePitch="312" w:charSpace="0"/>
        </w:sectPr>
      </w:pPr>
    </w:p>
    <w:p>
      <w:pPr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45" w:name="_Toc5148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附录一：</w:t>
      </w:r>
      <w:bookmarkEnd w:id="45"/>
    </w:p>
    <w:p>
      <w:pPr>
        <w:widowControl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1.获取支付收银台链接</w:t>
      </w:r>
    </w:p>
    <w:p>
      <w:pPr>
        <w:widowControl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交易说明</w:t>
      </w:r>
    </w:p>
    <w:p>
      <w:pPr>
        <w:widowControl/>
        <w:ind w:firstLine="640" w:firstLineChars="20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通过该接口获取先医后付支付收银台链接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,该接口配合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《附录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《附录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判断该用户是否在先医后付平台完成签约，只有签约过的用户才可调用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《附录一》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获取收银台地址完成先医后付支付，如若未签约，让用户先去先医后付平台完成签约，再使用先医后付方式进行支付。</w:t>
      </w:r>
    </w:p>
    <w:p>
      <w:pPr>
        <w:widowControl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交易对象</w:t>
      </w:r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交易发送方：定点医疗机构</w:t>
      </w:r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交易接收方：先医后付平台</w:t>
      </w:r>
    </w:p>
    <w:p>
      <w:pPr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1.1.输入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318"/>
        <w:gridCol w:w="2616"/>
        <w:gridCol w:w="1357"/>
        <w:gridCol w:w="1180"/>
        <w:gridCol w:w="1180"/>
        <w:gridCol w:w="1180"/>
        <w:gridCol w:w="3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1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5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732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506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432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432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432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1337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rg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_code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医院编码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33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ser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_name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33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cert_no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33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race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_no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订单信息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机构跟踪号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33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/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1.2.输出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657"/>
        <w:gridCol w:w="2297"/>
        <w:gridCol w:w="1336"/>
        <w:gridCol w:w="1336"/>
        <w:gridCol w:w="1336"/>
        <w:gridCol w:w="1336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301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7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810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471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471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471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471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064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code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响应code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msg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响应提示语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data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响应数据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json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link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Url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支付收银台链接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响应码code说明：</w:t>
      </w:r>
    </w:p>
    <w:tbl>
      <w:tblPr>
        <w:tblStyle w:val="11"/>
        <w:tblW w:w="32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664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117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2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450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000000</w:t>
            </w:r>
          </w:p>
        </w:tc>
        <w:tc>
          <w:tcPr>
            <w:tcW w:w="245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000100</w:t>
            </w:r>
          </w:p>
        </w:tc>
        <w:tc>
          <w:tcPr>
            <w:tcW w:w="245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失败，用户未签约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999999</w:t>
            </w:r>
          </w:p>
        </w:tc>
        <w:tc>
          <w:tcPr>
            <w:tcW w:w="245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失败，系统异常</w:t>
            </w:r>
          </w:p>
        </w:tc>
      </w:tr>
    </w:tbl>
    <w:p>
      <w:pPr>
        <w:widowControl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1.3.返回数据样式</w:t>
      </w:r>
    </w:p>
    <w:p>
      <w:pPr>
        <w:widowControl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成功案例：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{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"msg": "成功",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"code": "000000",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"data": 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{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"linkUrl": "https://paft-dev.yl-dt.com?source=h5-wx&amp;queryStr=xxxxxxxx"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}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}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失败案例：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{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"msg": "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用户未签约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",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"code": "000100",</w:t>
      </w:r>
    </w:p>
    <w:p>
      <w:pPr>
        <w:widowControl/>
        <w:ind w:firstLine="480" w:firstLineChars="200"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"data": null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}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ind w:firstLine="480" w:firstLineChars="200"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定点医疗机构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通过附录五确认该用户已签约后，调用该接口获取先医后付收银台地址linkUrl，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定点医疗机构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前端对这个收银台地址linkUrl发起调用，调用时需在linkUrl后拼接上自己的回调地址，用于接收支付结果信息及支付完成后的页面重定向，例如：https://paft-dev.yl-dt.com?source=h5-wx&amp;queryStr=xxxxxxxx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&amp;backUrl=http://127.0.0.1:8088/pay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，先医后付支付完成后，调用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定点医疗机构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提供的回调地址，进行支付结果通知，先医后付平台会在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提供的回调地址基础上增加支付结果查询令牌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access</w:t>
      </w:r>
      <w:r>
        <w:rPr>
          <w:rFonts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_code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和支付结果状态status(1成功0失败)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，拼接后示例如下：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http://127.0.0.1:8088/pay?status=1&amp;access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Hans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_code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=xxxxx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，机构web前端接收这个回调请求，机构平台接到请求后根据自己业务进行处理，如若想获取支付的详细信息，可根据令牌调用先医后付附录四获取支付信息（完成支付后10分钟内）。具体交互见下方时序图：</w:t>
      </w:r>
    </w:p>
    <w:p>
      <w:pPr>
        <w:widowControl/>
        <w:ind w:firstLine="640" w:firstLineChars="20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88000" cy="5271770"/>
            <wp:effectExtent l="0" t="0" r="0" b="0"/>
            <wp:docPr id="4" name="图片 4" descr="未命名文件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命名文件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52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46" w:name="_Toc5991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附录二：</w:t>
      </w:r>
      <w:bookmarkEnd w:id="46"/>
    </w:p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1.报告信息查询</w:t>
      </w:r>
    </w:p>
    <w:p>
      <w:pPr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1.1.输入</w:t>
      </w:r>
    </w:p>
    <w:tbl>
      <w:tblPr>
        <w:tblStyle w:val="1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394"/>
        <w:gridCol w:w="2343"/>
        <w:gridCol w:w="1614"/>
        <w:gridCol w:w="1614"/>
        <w:gridCol w:w="1615"/>
        <w:gridCol w:w="161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psnNo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psnCerType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人员证件类型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certno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userName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用户姓名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patnId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患者ID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examOrgNode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检查机构代码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examOrgName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检查机构名称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examItemNode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检查-项目代码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examItemName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检查-项目名称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rptBegDate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报告开始日期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rptEndDate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报告结束日期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</w:tbl>
    <w:p>
      <w:pPr>
        <w:keepNext/>
        <w:widowControl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1.2.输出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822"/>
        <w:gridCol w:w="2032"/>
        <w:gridCol w:w="3202"/>
        <w:gridCol w:w="1100"/>
        <w:gridCol w:w="1117"/>
        <w:gridCol w:w="1049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ret_code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返回码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ret_msg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返回说明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reportlist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报告列表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List&lt;JSONObject&gt;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/>
        <w:widowControl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报告列表 reportlist说明 开始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822"/>
        <w:gridCol w:w="3663"/>
        <w:gridCol w:w="1571"/>
        <w:gridCol w:w="1100"/>
        <w:gridCol w:w="1117"/>
        <w:gridCol w:w="1049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psnNo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rpotcNo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报告单号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rptDate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报告日期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examTest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检查/检验标志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字符型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1:检查报告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2:检验报告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rpotcTypeCode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报告单类别代码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fixmedinsCode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机构编号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examRpotcName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检查报告单名称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examRsltPoitFlag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检查结果阳性标志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examRsltAbn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检查/检验结果异常标志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examCcls</w:t>
            </w:r>
          </w:p>
        </w:tc>
        <w:tc>
          <w:tcPr>
            <w:tcW w:w="1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检查结论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/>
        <w:widowControl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2.报告明细查询</w:t>
      </w:r>
    </w:p>
    <w:p>
      <w:pPr>
        <w:keepNext/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2.1.输入</w:t>
      </w:r>
    </w:p>
    <w:tbl>
      <w:tblPr>
        <w:tblStyle w:val="1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451"/>
        <w:gridCol w:w="2122"/>
        <w:gridCol w:w="1557"/>
        <w:gridCol w:w="1557"/>
        <w:gridCol w:w="1557"/>
        <w:gridCol w:w="1983"/>
        <w:gridCol w:w="1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psnNo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psnCerType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人员证件类型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certno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userName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用户姓名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patnId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患者ID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rpotcNo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报告单号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字符型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fixmedinsCode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机构编号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examTest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检查/检验标志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字符型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1:检查报告</w:t>
            </w:r>
          </w:p>
          <w:p>
            <w:pPr>
              <w:keepNext/>
              <w:keepLines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2:检验报告</w:t>
            </w:r>
          </w:p>
        </w:tc>
      </w:tr>
    </w:tbl>
    <w:p>
      <w:pPr>
        <w:keepNext/>
        <w:pageBreakBefore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2.2.输出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205"/>
        <w:gridCol w:w="1649"/>
        <w:gridCol w:w="3202"/>
        <w:gridCol w:w="1100"/>
        <w:gridCol w:w="1117"/>
        <w:gridCol w:w="1049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ret_code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返回码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ret_msg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返回说明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checkReportDetails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检查报告明细信息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JSONObject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inspectionReportInformation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检验报告信息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JSONObject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inspectionDetails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检验明细信息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List&lt;JSONObject&gt;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输出-检查报告明细信息（节点标识：checkReportDetails）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833"/>
        <w:gridCol w:w="2924"/>
        <w:gridCol w:w="1608"/>
        <w:gridCol w:w="1017"/>
        <w:gridCol w:w="1017"/>
        <w:gridCol w:w="1029"/>
        <w:gridCol w:w="2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psnNo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rpotcNo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报告单号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rptDate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报告日期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rpotcTypeCode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报告单类别代码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examRpotcName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检查报告单名称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examRsltPoitFlag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检查结果阳性标志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医院自定义，如+（阳）、-（阴）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examRsltAbn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检查异常标志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examCcls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检查结论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bilgDrName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报告医师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输出-检验报告信息（节点标识：inspectionReportInformation）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045"/>
        <w:gridCol w:w="2344"/>
        <w:gridCol w:w="1860"/>
        <w:gridCol w:w="1500"/>
        <w:gridCol w:w="1500"/>
        <w:gridCol w:w="1502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319" w:type="pct"/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74" w:type="pct"/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827" w:type="pct"/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656" w:type="pct"/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529" w:type="pct"/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29" w:type="pct"/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30" w:type="pct"/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533" w:type="pct"/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psnNo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rpotcNo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报告单号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examItemCode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检验-项目代码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examItemName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检验-项目名称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rptDate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报告日期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rpotDoc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报告医师</w:t>
            </w:r>
          </w:p>
        </w:tc>
        <w:tc>
          <w:tcPr>
            <w:tcW w:w="656" w:type="pct"/>
            <w:shd w:val="clear" w:color="auto" w:fill="auto"/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/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输出-检验明细信息（节点标识：inspectionDetails）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012"/>
        <w:gridCol w:w="3961"/>
        <w:gridCol w:w="1481"/>
        <w:gridCol w:w="1088"/>
        <w:gridCol w:w="1009"/>
        <w:gridCol w:w="978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tblHeader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tblHeader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rpotcNo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报告单号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examMtd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检验方法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refVal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参考值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examUnt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检验-计量单位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examRsltVal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检验-结果(数值)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examRsltQual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 - 结果(定性)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tblHeader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examItemDetlCode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 - 项目明细代码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tblHeader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examItemDetlName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 - 项目明细名称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tblHeader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examRsltAbn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 / 检验结果异常标识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reportResource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详细报告单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详细报告单</w:t>
            </w:r>
          </w:p>
        </w:tc>
      </w:tr>
    </w:tbl>
    <w:p>
      <w:pPr>
        <w:keepNext/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报告单类别代码</w:t>
      </w:r>
    </w:p>
    <w:tbl>
      <w:tblPr>
        <w:tblStyle w:val="1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5650"/>
        <w:gridCol w:w="1953"/>
        <w:gridCol w:w="4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一般临床检验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临床微生物学检查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血液学检查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临床寄生虫学检查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临床化学检查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分子生物学检查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临床免疫学检查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</w:tbl>
    <w:p>
      <w:pPr>
        <w:pageBreakBefore/>
        <w:outlineLvl w:val="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47" w:name="_Toc17073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附录三：</w:t>
      </w:r>
      <w:bookmarkEnd w:id="47"/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【3503】商品采购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交易说明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通过此交易上传商品采购信息。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重点说明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交易输入为单行数据。</w:t>
      </w:r>
    </w:p>
    <w:p>
      <w:pPr>
        <w:widowControl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交易对象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交易发送方：医药机构。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交易接收方：地方医保局。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1.1.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输入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输入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（节点标识：purcinfo）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78"/>
        <w:gridCol w:w="3778"/>
        <w:gridCol w:w="1178"/>
        <w:gridCol w:w="1022"/>
        <w:gridCol w:w="1000"/>
        <w:gridCol w:w="878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50" w:type="pct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97" w:type="pct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参数代码</w:t>
            </w:r>
          </w:p>
        </w:tc>
        <w:tc>
          <w:tcPr>
            <w:tcW w:w="1332" w:type="pct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参数名称</w:t>
            </w:r>
          </w:p>
        </w:tc>
        <w:tc>
          <w:tcPr>
            <w:tcW w:w="415" w:type="pct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参数类型</w:t>
            </w:r>
          </w:p>
        </w:tc>
        <w:tc>
          <w:tcPr>
            <w:tcW w:w="360" w:type="pct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参数长度</w:t>
            </w:r>
          </w:p>
        </w:tc>
        <w:tc>
          <w:tcPr>
            <w:tcW w:w="352" w:type="pct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代码标识</w:t>
            </w:r>
          </w:p>
        </w:tc>
        <w:tc>
          <w:tcPr>
            <w:tcW w:w="309" w:type="pct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是否必填</w:t>
            </w:r>
          </w:p>
        </w:tc>
        <w:tc>
          <w:tcPr>
            <w:tcW w:w="681" w:type="pct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med_list_codg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医疗目录编码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fixmedins_hilist_id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定点医药机构目录编号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fixmedins_hilist_name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定点医药机构目录名称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dynt_no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随货单号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fixmedins_bchno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定点医药机构批次流水号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spler_name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spler_pmtno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供应商许可证号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manu_lotnum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生产批号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prdr_name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生产厂家名称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aprvno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manu_date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生产日期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日期型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expy_end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有效期止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日期型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finl_trns_pric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最终成交单价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数值型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purc_retn_cnt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采购/退货数量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数值型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purc_invo_codg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采购发票编码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purc_invo_no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采购发票号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rx_flag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处方药标志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purc_retn_stoin_time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采购/退货入库时间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日期时间型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purc_retn_opter_name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采购/退货经办人姓名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prod_geay_flag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商品赠送标志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0-否；1-是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memo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exp_content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字段扩展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/>
        <w:widowControl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票据信息（放在 exp_content 下节点标识：invoices）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655"/>
        <w:gridCol w:w="3966"/>
        <w:gridCol w:w="1367"/>
        <w:gridCol w:w="1189"/>
        <w:gridCol w:w="1089"/>
        <w:gridCol w:w="1022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enterpriseName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票据名称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socialCode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票据纳税人识别号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票据地址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tel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票据电话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bankName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票据开户行名称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bankCode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票据开户行账号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invoiceNo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发票号码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invoiceDate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开票日期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taxAmount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taxRate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taxrateAmount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税额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货物或应税劳务、服务名称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purcCnt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trnsPpric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pay_flag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支付标志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0未支付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1已支付</w:t>
            </w:r>
          </w:p>
        </w:tc>
      </w:tr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1.2.无输出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2.【3504】商品采购退货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通过此交易上传商品采购退货信息。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交易输入为单行数据。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交易对象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交易发送方：医药机构。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交易接收方：地方医保局。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2.1.输入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输入（节点标识：purcinfo）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235"/>
        <w:gridCol w:w="2837"/>
        <w:gridCol w:w="1408"/>
        <w:gridCol w:w="1173"/>
        <w:gridCol w:w="1173"/>
        <w:gridCol w:w="1173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0" w:type="auto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参数代码</w:t>
            </w:r>
          </w:p>
        </w:tc>
        <w:tc>
          <w:tcPr>
            <w:tcW w:w="0" w:type="auto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参数名称</w:t>
            </w:r>
          </w:p>
        </w:tc>
        <w:tc>
          <w:tcPr>
            <w:tcW w:w="0" w:type="auto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参数类型</w:t>
            </w:r>
          </w:p>
        </w:tc>
        <w:tc>
          <w:tcPr>
            <w:tcW w:w="0" w:type="auto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参数长度</w:t>
            </w:r>
          </w:p>
        </w:tc>
        <w:tc>
          <w:tcPr>
            <w:tcW w:w="0" w:type="auto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代码标识</w:t>
            </w:r>
          </w:p>
        </w:tc>
        <w:tc>
          <w:tcPr>
            <w:tcW w:w="0" w:type="auto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是否必填</w:t>
            </w:r>
          </w:p>
        </w:tc>
        <w:tc>
          <w:tcPr>
            <w:tcW w:w="0" w:type="auto"/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med_list_codg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医疗目录编码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fixmedins_hilist_id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定点医药机构目录编号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fixmedins_hilist_name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定点医药机构目录名称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fixmedins_bchno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定点医药机构批次流水号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spler_name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spler_pmtno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供应商许可证号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manu_date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生产日期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日期型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expy_end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有效期止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日期型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finl_trns_pric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最终成交单价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数值型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采购/退货单价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purc_retn_cnt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采购/退货数量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数值型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purc_invo_codg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采购发票编码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purc_invo_no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采购发票号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rx_flag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处方药标志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purc_retn_stoin_time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采购/退货入库时间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日期时间型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purc_retn_opter_name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采购/退货经办人姓名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memo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medins_prod_purc_no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商品采购流水号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exp_content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字段扩展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字符型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票据信息（放在 exp_content 下节点标识：invoices）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512"/>
        <w:gridCol w:w="3944"/>
        <w:gridCol w:w="1178"/>
        <w:gridCol w:w="1544"/>
        <w:gridCol w:w="1089"/>
        <w:gridCol w:w="1156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enterpriseName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票据名称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socialCode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票据纳税人识别号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票据地址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tel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票据电话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bankName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票据开户行名称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bankCode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票据开户行账号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invoiceNo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发票号码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invoiceDate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开票日期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taxAmount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小于0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taxRate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taxrateAmount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税额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货物或应税劳务、服务名称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purcCnt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trnsPpric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pay_flag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支付标志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0未支付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1已支付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2.2.无输出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附录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ind w:firstLine="643" w:firstLineChars="200"/>
        <w:rPr>
          <w:rFonts w:hint="default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1.获取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先医后付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支付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结果信息</w:t>
      </w:r>
    </w:p>
    <w:p>
      <w:pPr>
        <w:widowControl/>
        <w:ind w:firstLine="643" w:firstLineChars="200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交易说明</w:t>
      </w:r>
    </w:p>
    <w:p>
      <w:pPr>
        <w:widowControl/>
        <w:ind w:firstLine="640" w:firstLineChars="20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通过该接口获取先医后付支付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结果信息</w:t>
      </w:r>
    </w:p>
    <w:p>
      <w:pPr>
        <w:widowControl/>
        <w:ind w:firstLine="643" w:firstLineChars="200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交易对象</w:t>
      </w:r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交易发送方：定点医疗机构</w:t>
      </w:r>
    </w:p>
    <w:p>
      <w:pPr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交易接收方：先医后付平台</w:t>
      </w:r>
    </w:p>
    <w:p>
      <w:pPr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1.1.输入</w:t>
      </w:r>
    </w:p>
    <w:tbl>
      <w:tblPr>
        <w:tblStyle w:val="11"/>
        <w:tblW w:w="3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731"/>
        <w:gridCol w:w="1564"/>
        <w:gridCol w:w="1877"/>
        <w:gridCol w:w="1393"/>
        <w:gridCol w:w="1446"/>
        <w:gridCol w:w="1339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51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4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69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40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623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647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9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564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access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_code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令牌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/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1.2.输出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243"/>
        <w:gridCol w:w="2456"/>
        <w:gridCol w:w="1500"/>
        <w:gridCol w:w="1500"/>
        <w:gridCol w:w="1500"/>
        <w:gridCol w:w="150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303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1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866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91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code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响应code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msg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响应提示语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data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响应数据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json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pageBreakBefore/>
        <w:widowControl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响应数据data详细信息</w:t>
      </w:r>
    </w:p>
    <w:tbl>
      <w:tblPr>
        <w:tblStyle w:val="11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243"/>
        <w:gridCol w:w="2455"/>
        <w:gridCol w:w="1500"/>
        <w:gridCol w:w="1500"/>
        <w:gridCol w:w="1500"/>
        <w:gridCol w:w="1500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303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1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866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91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pay_result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支付结果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0失败 1成功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org_trace_no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医院订单号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cert_no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证件号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1.3.返回数据样式</w:t>
      </w:r>
    </w:p>
    <w:p>
      <w:pPr>
        <w:widowControl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{</w:t>
      </w:r>
    </w:p>
    <w:p>
      <w:pPr>
        <w:widowControl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"msg": "成功",</w:t>
      </w:r>
    </w:p>
    <w:p>
      <w:pPr>
        <w:widowControl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"code": "000000",</w:t>
      </w:r>
    </w:p>
    <w:p>
      <w:pPr>
        <w:widowControl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"data": 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{</w:t>
      </w:r>
    </w:p>
    <w:p>
      <w:pPr>
        <w:widowControl/>
        <w:ind w:firstLine="1416" w:firstLineChars="59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pay_result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": 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org_trace_no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": 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06f3b9aaeb644f769b1969998754c8d9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</w:p>
    <w:p>
      <w:pPr>
        <w:keepNext w:val="0"/>
        <w:keepLines w:val="0"/>
        <w:widowControl/>
        <w:suppressLineNumbers w:val="0"/>
        <w:ind w:firstLine="1440" w:firstLineChars="600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mdtrt_id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"220000202310080930230100037954"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</w:p>
    <w:p>
      <w:pPr>
        <w:keepNext w:val="0"/>
        <w:keepLines w:val="0"/>
        <w:widowControl/>
        <w:suppressLineNumbers w:val="0"/>
        <w:ind w:firstLine="1440" w:firstLineChars="600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psn_no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"22000000000000499443"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cert_no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 "35020519870808105X"</w:t>
      </w:r>
    </w:p>
    <w:p>
      <w:pPr>
        <w:widowControl/>
        <w:ind w:firstLine="792" w:firstLineChars="33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}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}</w:t>
      </w:r>
    </w:p>
    <w:p>
      <w:pPr>
        <w:widowControl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附录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ind w:firstLine="643" w:firstLineChars="200"/>
        <w:rPr>
          <w:rFonts w:hint="default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用户签约状态获取及未签约用户签约</w:t>
      </w:r>
    </w:p>
    <w:p>
      <w:pPr>
        <w:widowControl/>
        <w:ind w:firstLine="643" w:firstLineChars="200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交易说明</w:t>
      </w:r>
    </w:p>
    <w:p>
      <w:pPr>
        <w:widowControl/>
        <w:ind w:firstLine="640" w:firstLineChars="20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获取用户的签约状态，若用户未签约，跳转到先医后付平台完成签约。</w:t>
      </w:r>
    </w:p>
    <w:p>
      <w:pPr>
        <w:widowControl/>
        <w:ind w:firstLine="643" w:firstLineChars="200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交易对象</w:t>
      </w:r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交易发送方：定点医疗机构</w:t>
      </w:r>
    </w:p>
    <w:p>
      <w:pPr>
        <w:widowControl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交易接收方：先医后付平台</w:t>
      </w:r>
    </w:p>
    <w:p>
      <w:pPr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1.1.输入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56"/>
        <w:gridCol w:w="3417"/>
        <w:gridCol w:w="1500"/>
        <w:gridCol w:w="1500"/>
        <w:gridCol w:w="1500"/>
        <w:gridCol w:w="150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303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4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205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788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rg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_code</w:t>
            </w:r>
          </w:p>
        </w:tc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医院编码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ser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_name</w:t>
            </w:r>
          </w:p>
        </w:tc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cert_no</w:t>
            </w:r>
          </w:p>
        </w:tc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/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1.2.输出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243"/>
        <w:gridCol w:w="2456"/>
        <w:gridCol w:w="1500"/>
        <w:gridCol w:w="1500"/>
        <w:gridCol w:w="1500"/>
        <w:gridCol w:w="150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303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1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866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91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code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响应code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msg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响应提示语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data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响应数据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json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/>
        <w:widowControl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响应数据data详细信息</w:t>
      </w:r>
    </w:p>
    <w:tbl>
      <w:tblPr>
        <w:tblStyle w:val="11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207"/>
        <w:gridCol w:w="2419"/>
        <w:gridCol w:w="1464"/>
        <w:gridCol w:w="1464"/>
        <w:gridCol w:w="1464"/>
        <w:gridCol w:w="1465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303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1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866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2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919" w:type="pct"/>
            <w:shd w:val="clear" w:color="auto" w:fill="D8D8D8" w:themeFill="background1" w:themeFillShade="D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signStatus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签约状态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0未签约 1已签约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signUrl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签约地址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若未签约，该参数不为空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1.3.返回数据样式</w:t>
      </w:r>
    </w:p>
    <w:p>
      <w:pPr>
        <w:widowControl/>
        <w:ind w:left="840" w:leftChars="0" w:firstLine="0" w:firstLineChars="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{</w:t>
      </w:r>
    </w:p>
    <w:p>
      <w:pPr>
        <w:widowControl/>
        <w:ind w:left="840" w:leftChars="0" w:firstLine="0" w:firstLineChars="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"msg": "成功",</w:t>
      </w:r>
    </w:p>
    <w:p>
      <w:pPr>
        <w:widowControl/>
        <w:ind w:left="840" w:leftChars="0" w:firstLine="0" w:firstLineChars="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"code": "000000",</w:t>
      </w:r>
    </w:p>
    <w:p>
      <w:pPr>
        <w:widowControl/>
        <w:ind w:left="840" w:leftChars="0" w:firstLine="0" w:firstLineChars="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"data": </w:t>
      </w:r>
    </w:p>
    <w:p>
      <w:pPr>
        <w:widowControl/>
        <w:ind w:left="840" w:leftChars="0" w:firstLine="0" w:firstLineChars="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{</w:t>
      </w:r>
    </w:p>
    <w:p>
      <w:pPr>
        <w:widowControl/>
        <w:ind w:left="1680" w:leftChars="0" w:firstLine="420" w:firstLineChars="0"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"signStatus": 0,</w:t>
      </w:r>
    </w:p>
    <w:p>
      <w:pPr>
        <w:widowControl/>
        <w:ind w:left="1680" w:leftChars="0" w:firstLine="420" w:firstLineChars="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"signUrl": "https://paft-dev.yl-dt.com?source=h5-wx&amp;querySign=xxxxxxxx"</w:t>
      </w:r>
    </w:p>
    <w:p>
      <w:pPr>
        <w:widowControl/>
        <w:ind w:left="840" w:leftChars="0" w:firstLine="0" w:firstLineChars="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}</w:t>
      </w:r>
    </w:p>
    <w:p>
      <w:pPr>
        <w:widowControl/>
        <w:ind w:left="840" w:leftChars="0" w:firstLine="0" w:firstLineChars="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具体交互流程参考附录一，机构要跳转到先医后付签约时，需要在本接口返回的signUrl地址后，加入backUrl回调地址，用于通知签约状态。</w:t>
      </w:r>
    </w:p>
    <w:sectPr>
      <w:footerReference r:id="rId5" w:type="default"/>
      <w:pgSz w:w="16838" w:h="11906" w:orient="landscape"/>
      <w:pgMar w:top="1800" w:right="1440" w:bottom="1800" w:left="1440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-92075</wp:posOffset>
              </wp:positionV>
              <wp:extent cx="5269865" cy="36195"/>
              <wp:effectExtent l="0" t="0" r="635" b="1905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986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0.15pt;margin-top:-7.25pt;height:2.85pt;width:414.95pt;z-index:-251655168;mso-width-relative:page;mso-height-relative:page;" fillcolor="#4F81BD" filled="t" stroked="f" coordsize="21600,21600" o:gfxdata="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gAqStgAAAAIAQAADwAAAAAAAAABACAAAAAiAAAAZHJzL2Rvd25yZXYueG1sUEsBAhQAFAAAAAgA&#10;h07iQCpdZT6zAQAAXgMAAA4AAAAAAAAAAQAgAAAAJwEAAGRycy9lMm9Eb2MueG1sUEsFBgAAAAAG&#10;AAYAWQEAAEw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-97155</wp:posOffset>
              </wp:positionV>
              <wp:extent cx="8855710" cy="36195"/>
              <wp:effectExtent l="0" t="0" r="8890" b="1905"/>
              <wp:wrapNone/>
              <wp:docPr id="8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5571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85pt;margin-top:-7.65pt;height:2.85pt;width:697.3pt;z-index:-251652096;mso-width-relative:page;mso-height-relative:page;" fillcolor="#4F81BD" filled="t" stroked="f" coordsize="21600,21600" o:gfxdata="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e&#10;K+xV2AAAAAkBAAAPAAAAAAAAAAEAIAAAACIAAABkcnMvZG93bnJldi54bWxQSwECFAAUAAAACACH&#10;TuJAT9zN2LIBAABeAwAADgAAAAAAAAABACAAAAAnAQAAZHJzL2Uyb0RvYy54bWxQSwUGAAAAAAYA&#10;BgBZAQAAS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 xml:space="preserve">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instrText xml:space="preserve">24</w:instrTex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</w:rPr>
                      <w:instrText xml:space="preserve">=</w:instrTex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instrText xml:space="preserve">24</w:instrTex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13"/>
        <w:szCs w:val="13"/>
      </w:rPr>
    </w:pPr>
    <w:r>
      <w:rPr>
        <w:rFonts w:hint="eastAsia"/>
        <w:sz w:val="13"/>
        <w:szCs w:val="13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-194310</wp:posOffset>
          </wp:positionV>
          <wp:extent cx="1002030" cy="586740"/>
          <wp:effectExtent l="0" t="0" r="0" b="0"/>
          <wp:wrapSquare wrapText="bothSides"/>
          <wp:docPr id="2" name="图片 2" descr="96c7fec527f2276528972f1efefe6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96c7fec527f2276528972f1efefe6e1"/>
                  <pic:cNvPicPr>
                    <a:picLocks noChangeAspect="1"/>
                  </pic:cNvPicPr>
                </pic:nvPicPr>
                <pic:blipFill>
                  <a:blip r:embed="rId1"/>
                  <a:srcRect b="17458"/>
                  <a:stretch>
                    <a:fillRect/>
                  </a:stretch>
                </pic:blipFill>
                <pic:spPr>
                  <a:xfrm>
                    <a:off x="0" y="0"/>
                    <a:ext cx="100203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  <w:rPr>
        <w:sz w:val="13"/>
        <w:szCs w:val="13"/>
      </w:rPr>
    </w:pPr>
  </w:p>
  <w:p>
    <w:pPr>
      <w:pStyle w:val="7"/>
      <w:rPr>
        <w:sz w:val="13"/>
        <w:szCs w:val="13"/>
      </w:rPr>
    </w:pPr>
  </w:p>
  <w:p>
    <w:pPr>
      <w:pStyle w:val="7"/>
    </w:pPr>
    <w:r>
      <w:pict>
        <v:rect id="_x0000_i1025" o:spt="1" style="height:3pt;width:405.35pt;" fillcolor="#4F81BD" filled="t" stroked="f" coordsize="21600,21600" o:hr="t" o:hrstd="t" o:hrnoshade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078D4"/>
    <w:multiLevelType w:val="multilevel"/>
    <w:tmpl w:val="4E2078D4"/>
    <w:lvl w:ilvl="0" w:tentative="0">
      <w:start w:val="1"/>
      <w:numFmt w:val="decimal"/>
      <w:suff w:val="space"/>
      <w:lvlText w:val="第%1章"/>
      <w:lvlJc w:val="left"/>
      <w:pPr>
        <w:tabs>
          <w:tab w:val="left" w:pos="420"/>
        </w:tabs>
        <w:ind w:left="0" w:firstLine="0"/>
      </w:pPr>
      <w:rPr>
        <w:b/>
        <w:bCs/>
        <w:i w:val="0"/>
        <w:iCs w:val="0"/>
        <w:vanish w:val="0"/>
        <w:color w:val="auto"/>
        <w:w w:val="100"/>
        <w:sz w:val="28"/>
        <w:szCs w:val="28"/>
        <w:u w:val="no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2"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3"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suff w:val="space"/>
      <w:lvlText w:val="%1.%2.%3.%4.%5.%6.%7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decimal"/>
      <w:suff w:val="space"/>
      <w:lvlText w:val="%1.%2.%3.%4.%5.%6.%7.%8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decimal"/>
      <w:suff w:val="space"/>
      <w:lvlText w:val="%1.%2.%3.%4.%5.%6.%7.%8.%9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kNWYzZTkwNWQ0YWViZmMyNGZmZTQ1M2U5NWUwNzIifQ=="/>
  </w:docVars>
  <w:rsids>
    <w:rsidRoot w:val="2B581B96"/>
    <w:rsid w:val="002837BA"/>
    <w:rsid w:val="003B60D1"/>
    <w:rsid w:val="005B0EE9"/>
    <w:rsid w:val="00665BAD"/>
    <w:rsid w:val="006F6C30"/>
    <w:rsid w:val="00711F85"/>
    <w:rsid w:val="00982E15"/>
    <w:rsid w:val="00A621F1"/>
    <w:rsid w:val="00AC5CEA"/>
    <w:rsid w:val="00B466AA"/>
    <w:rsid w:val="00CF127E"/>
    <w:rsid w:val="00D035B1"/>
    <w:rsid w:val="0199091B"/>
    <w:rsid w:val="01BA45F8"/>
    <w:rsid w:val="02306473"/>
    <w:rsid w:val="02AB60FD"/>
    <w:rsid w:val="02D43C2D"/>
    <w:rsid w:val="03E5503B"/>
    <w:rsid w:val="043365D3"/>
    <w:rsid w:val="0490144A"/>
    <w:rsid w:val="049E147F"/>
    <w:rsid w:val="04EB6681"/>
    <w:rsid w:val="05624B45"/>
    <w:rsid w:val="062F0B76"/>
    <w:rsid w:val="06361B7E"/>
    <w:rsid w:val="06383B48"/>
    <w:rsid w:val="06533F48"/>
    <w:rsid w:val="065C02E9"/>
    <w:rsid w:val="078E18DE"/>
    <w:rsid w:val="07C12CC9"/>
    <w:rsid w:val="07CE0947"/>
    <w:rsid w:val="088B2B81"/>
    <w:rsid w:val="08AF5C17"/>
    <w:rsid w:val="08E072DA"/>
    <w:rsid w:val="09210410"/>
    <w:rsid w:val="09F01CB4"/>
    <w:rsid w:val="09F22CB0"/>
    <w:rsid w:val="0A6C1872"/>
    <w:rsid w:val="0A760EDE"/>
    <w:rsid w:val="0A98139A"/>
    <w:rsid w:val="0B2F1467"/>
    <w:rsid w:val="0B7E0759"/>
    <w:rsid w:val="0B995C03"/>
    <w:rsid w:val="0BA84D1F"/>
    <w:rsid w:val="0BCA176C"/>
    <w:rsid w:val="0C1D08D4"/>
    <w:rsid w:val="0D1D38DF"/>
    <w:rsid w:val="0D306330"/>
    <w:rsid w:val="0DD515A2"/>
    <w:rsid w:val="0E667919"/>
    <w:rsid w:val="10A971AF"/>
    <w:rsid w:val="10B244F7"/>
    <w:rsid w:val="11CB1D14"/>
    <w:rsid w:val="12681311"/>
    <w:rsid w:val="12C16C73"/>
    <w:rsid w:val="12E52375"/>
    <w:rsid w:val="15DF5D8E"/>
    <w:rsid w:val="169D711A"/>
    <w:rsid w:val="16E573D4"/>
    <w:rsid w:val="17702799"/>
    <w:rsid w:val="17EA779E"/>
    <w:rsid w:val="184B14B9"/>
    <w:rsid w:val="1A7D0323"/>
    <w:rsid w:val="1B174E42"/>
    <w:rsid w:val="1B3F1A6D"/>
    <w:rsid w:val="1BA61FF7"/>
    <w:rsid w:val="1C414583"/>
    <w:rsid w:val="1D323C47"/>
    <w:rsid w:val="1D3E15EC"/>
    <w:rsid w:val="1D5D61A9"/>
    <w:rsid w:val="1D6E3BB2"/>
    <w:rsid w:val="1E351077"/>
    <w:rsid w:val="1E9E03B7"/>
    <w:rsid w:val="20987265"/>
    <w:rsid w:val="21BD5AE1"/>
    <w:rsid w:val="228C414E"/>
    <w:rsid w:val="23677D2B"/>
    <w:rsid w:val="23E32EED"/>
    <w:rsid w:val="24E2743D"/>
    <w:rsid w:val="25317C88"/>
    <w:rsid w:val="26D426CE"/>
    <w:rsid w:val="270F3FF9"/>
    <w:rsid w:val="28237D5C"/>
    <w:rsid w:val="283D6944"/>
    <w:rsid w:val="287E1436"/>
    <w:rsid w:val="28E84FB6"/>
    <w:rsid w:val="2B581B96"/>
    <w:rsid w:val="2B844FB6"/>
    <w:rsid w:val="2C8132A3"/>
    <w:rsid w:val="2CC7706B"/>
    <w:rsid w:val="2FB614B6"/>
    <w:rsid w:val="304823B8"/>
    <w:rsid w:val="311F676D"/>
    <w:rsid w:val="3184468C"/>
    <w:rsid w:val="31E85B72"/>
    <w:rsid w:val="33C5066D"/>
    <w:rsid w:val="34F0438D"/>
    <w:rsid w:val="350B7043"/>
    <w:rsid w:val="35A617E1"/>
    <w:rsid w:val="3651018A"/>
    <w:rsid w:val="36666127"/>
    <w:rsid w:val="36C8784A"/>
    <w:rsid w:val="38206066"/>
    <w:rsid w:val="38882263"/>
    <w:rsid w:val="38F80241"/>
    <w:rsid w:val="39447B32"/>
    <w:rsid w:val="3A0472C2"/>
    <w:rsid w:val="3B5366DD"/>
    <w:rsid w:val="3BA42B0A"/>
    <w:rsid w:val="3BA64AD4"/>
    <w:rsid w:val="3C2B41F9"/>
    <w:rsid w:val="3CD46664"/>
    <w:rsid w:val="3CD92C87"/>
    <w:rsid w:val="3D0A2E41"/>
    <w:rsid w:val="3D7A7FC6"/>
    <w:rsid w:val="3F536D21"/>
    <w:rsid w:val="40021766"/>
    <w:rsid w:val="40F8373D"/>
    <w:rsid w:val="41871C1F"/>
    <w:rsid w:val="42393243"/>
    <w:rsid w:val="42621029"/>
    <w:rsid w:val="42BB414C"/>
    <w:rsid w:val="42C7049C"/>
    <w:rsid w:val="42D4266F"/>
    <w:rsid w:val="42EF4FB3"/>
    <w:rsid w:val="43A73B69"/>
    <w:rsid w:val="4407632C"/>
    <w:rsid w:val="45BE6EBE"/>
    <w:rsid w:val="4662784A"/>
    <w:rsid w:val="4679797C"/>
    <w:rsid w:val="47A104CE"/>
    <w:rsid w:val="47C76913"/>
    <w:rsid w:val="484315B6"/>
    <w:rsid w:val="488F1B48"/>
    <w:rsid w:val="48B9744E"/>
    <w:rsid w:val="495A0CAC"/>
    <w:rsid w:val="4980051F"/>
    <w:rsid w:val="49CD76D0"/>
    <w:rsid w:val="4A037596"/>
    <w:rsid w:val="4A7D4C52"/>
    <w:rsid w:val="4AEE5B50"/>
    <w:rsid w:val="4C2D4456"/>
    <w:rsid w:val="4ED73A88"/>
    <w:rsid w:val="4F785AFC"/>
    <w:rsid w:val="50415F13"/>
    <w:rsid w:val="508530A9"/>
    <w:rsid w:val="509936FF"/>
    <w:rsid w:val="50FA0926"/>
    <w:rsid w:val="51922AAE"/>
    <w:rsid w:val="51BD627C"/>
    <w:rsid w:val="521F27DB"/>
    <w:rsid w:val="52434F0D"/>
    <w:rsid w:val="525C577D"/>
    <w:rsid w:val="525F386A"/>
    <w:rsid w:val="52D11560"/>
    <w:rsid w:val="534E5E76"/>
    <w:rsid w:val="53990623"/>
    <w:rsid w:val="550348EE"/>
    <w:rsid w:val="55570EE3"/>
    <w:rsid w:val="556D1251"/>
    <w:rsid w:val="55A20B06"/>
    <w:rsid w:val="56CB2EF7"/>
    <w:rsid w:val="576F0018"/>
    <w:rsid w:val="5856358D"/>
    <w:rsid w:val="58E07F88"/>
    <w:rsid w:val="58F41533"/>
    <w:rsid w:val="594D25DB"/>
    <w:rsid w:val="5A9554B4"/>
    <w:rsid w:val="5B3C6E70"/>
    <w:rsid w:val="5B615ECA"/>
    <w:rsid w:val="5BDD6651"/>
    <w:rsid w:val="5C312C4B"/>
    <w:rsid w:val="5DCC2EC0"/>
    <w:rsid w:val="5EED0D7F"/>
    <w:rsid w:val="5F28567D"/>
    <w:rsid w:val="60C625CB"/>
    <w:rsid w:val="613256E5"/>
    <w:rsid w:val="61481ECC"/>
    <w:rsid w:val="61880654"/>
    <w:rsid w:val="6256605D"/>
    <w:rsid w:val="630755A9"/>
    <w:rsid w:val="63184EA6"/>
    <w:rsid w:val="63B05C41"/>
    <w:rsid w:val="651922AA"/>
    <w:rsid w:val="65766A16"/>
    <w:rsid w:val="67097A34"/>
    <w:rsid w:val="67C72427"/>
    <w:rsid w:val="68143D96"/>
    <w:rsid w:val="681E63E0"/>
    <w:rsid w:val="69FD14B4"/>
    <w:rsid w:val="6A302BEF"/>
    <w:rsid w:val="6AA644CB"/>
    <w:rsid w:val="6AB16B97"/>
    <w:rsid w:val="6AED45B4"/>
    <w:rsid w:val="6B043C68"/>
    <w:rsid w:val="6B5246EE"/>
    <w:rsid w:val="6B9F6CC6"/>
    <w:rsid w:val="6C2B6988"/>
    <w:rsid w:val="6C772666"/>
    <w:rsid w:val="6C9C6D62"/>
    <w:rsid w:val="6CD55B22"/>
    <w:rsid w:val="6FAE00EA"/>
    <w:rsid w:val="6FE335BD"/>
    <w:rsid w:val="6FE43C7B"/>
    <w:rsid w:val="70651B61"/>
    <w:rsid w:val="71441BEA"/>
    <w:rsid w:val="716D0419"/>
    <w:rsid w:val="71973F9C"/>
    <w:rsid w:val="71CF5FA5"/>
    <w:rsid w:val="71D928B1"/>
    <w:rsid w:val="72710699"/>
    <w:rsid w:val="742F2BB2"/>
    <w:rsid w:val="74FF48D7"/>
    <w:rsid w:val="762F3A85"/>
    <w:rsid w:val="764509CC"/>
    <w:rsid w:val="76DF3FDC"/>
    <w:rsid w:val="77126280"/>
    <w:rsid w:val="78916D8B"/>
    <w:rsid w:val="78E132F1"/>
    <w:rsid w:val="798E3BD9"/>
    <w:rsid w:val="7A173ECC"/>
    <w:rsid w:val="7A297AD9"/>
    <w:rsid w:val="7B7D06A6"/>
    <w:rsid w:val="7BF87D2D"/>
    <w:rsid w:val="7C1A344E"/>
    <w:rsid w:val="7C3B41B0"/>
    <w:rsid w:val="7C431BF7"/>
    <w:rsid w:val="7D605B8A"/>
    <w:rsid w:val="7E8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50" w:beforeLines="50" w:after="50" w:afterLines="50"/>
      <w:jc w:val="left"/>
      <w:outlineLvl w:val="3"/>
    </w:pPr>
    <w:rPr>
      <w:b/>
      <w:bCs/>
      <w:lang w:val="zh-CN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spacing w:before="50" w:beforeLines="50" w:after="50" w:afterLines="50"/>
      <w:jc w:val="left"/>
      <w:outlineLvl w:val="4"/>
    </w:pPr>
    <w:rPr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99"/>
    <w:pPr>
      <w:jc w:val="center"/>
    </w:pPr>
    <w:rPr>
      <w:sz w:val="18"/>
      <w:szCs w:val="18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10">
    <w:name w:val="toc 2"/>
    <w:basedOn w:val="1"/>
    <w:next w:val="1"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4588</Words>
  <Characters>6632</Characters>
  <Lines>63</Lines>
  <Paragraphs>17</Paragraphs>
  <TotalTime>8</TotalTime>
  <ScaleCrop>false</ScaleCrop>
  <LinksUpToDate>false</LinksUpToDate>
  <CharactersWithSpaces>6889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2023-09-10T01:49:00Z</dcterms:created>
  <dc:creator>@</dc:creator>
  <cp:lastModifiedBy>WPS_1660726601</cp:lastModifiedBy>
  <dcterms:modified xsi:type="dcterms:W3CDTF">2023-10-24T07:37:45Z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D2CCA37DC6FD49AF8988F8A137033C3A_13</vt:lpwstr>
  </property>
</Properties>
</file>